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20" w:after="120" w:line="360" w:lineRule="exact"/>
        <w:ind w:firstLine="720"/>
        <w:jc w:val="both"/>
        <w:rPr>
          <w:b/>
          <w:color w:val="000000" w:themeColor="text1"/>
          <w:sz w:val="28"/>
          <w:szCs w:val="28"/>
          <w:lang w:val="vi-VN"/>
        </w:rPr>
      </w:pPr>
      <w:bookmarkStart w:id="0" w:name="loai_1"/>
      <w:r>
        <w:rPr>
          <w:b/>
          <w:bCs/>
          <w:color w:val="000000" w:themeColor="text1"/>
          <w:sz w:val="28"/>
          <w:szCs w:val="28"/>
          <w:lang w:val="vi-VN"/>
        </w:rPr>
        <w:t xml:space="preserve">1. </w:t>
      </w:r>
      <w:r>
        <w:rPr>
          <w:b/>
          <w:bCs/>
          <w:color w:val="000000" w:themeColor="text1"/>
          <w:sz w:val="28"/>
          <w:szCs w:val="28"/>
          <w:lang w:val="vi-VN"/>
        </w:rPr>
        <w:t>Nghị quyết số 30/2026/NQ-HĐND ngày 16/7/2026 của Hội đồng nhân dân tỉnh</w:t>
      </w:r>
      <w:r>
        <w:rPr>
          <w:b/>
          <w:bCs/>
          <w:color w:val="000000" w:themeColor="text1"/>
          <w:sz w:val="28"/>
          <w:szCs w:val="28"/>
          <w:lang w:val="vi-VN"/>
        </w:rPr>
        <w:t xml:space="preserve"> </w:t>
      </w:r>
      <w:r>
        <w:rPr>
          <w:b/>
          <w:color w:val="000000" w:themeColor="text1"/>
          <w:sz w:val="28"/>
          <w:szCs w:val="28"/>
        </w:rPr>
        <w:t xml:space="preserve">Quy định mức hỗ trợ cho </w:t>
      </w:r>
      <w:r>
        <w:rPr>
          <w:b/>
          <w:color w:val="000000" w:themeColor="text1"/>
          <w:sz w:val="28"/>
          <w:szCs w:val="28"/>
          <w:lang w:val="vi-VN"/>
        </w:rPr>
        <w:t xml:space="preserve">người </w:t>
      </w:r>
      <w:r>
        <w:rPr>
          <w:b/>
          <w:color w:val="000000" w:themeColor="text1"/>
          <w:sz w:val="28"/>
          <w:szCs w:val="28"/>
        </w:rPr>
        <w:t>giám định tư pháp</w:t>
      </w:r>
      <w:r>
        <w:rPr>
          <w:b/>
          <w:color w:val="000000" w:themeColor="text1"/>
          <w:sz w:val="28"/>
          <w:szCs w:val="28"/>
          <w:lang w:val="vi-VN"/>
        </w:rPr>
        <w:t>; người giúp việc cho người giám định tư pháp trên địa bàn tỉnh Điện Biên</w:t>
      </w:r>
    </w:p>
    <w:p>
      <w:pPr>
        <w:spacing w:before="120" w:after="120" w:line="360" w:lineRule="exact"/>
        <w:ind w:firstLine="720"/>
        <w:jc w:val="both"/>
        <w:rPr>
          <w:color w:val="000000" w:themeColor="text1"/>
          <w:sz w:val="28"/>
          <w:szCs w:val="28"/>
          <w:lang w:val="vi-VN"/>
        </w:rPr>
      </w:pPr>
      <w:r>
        <w:rPr>
          <w:bCs/>
          <w:color w:val="000000" w:themeColor="text1"/>
          <w:sz w:val="28"/>
          <w:szCs w:val="28"/>
          <w:lang w:val="vi-VN"/>
        </w:rPr>
        <w:t xml:space="preserve">Ngày 16 tháng 7 năm 2026 Hội đồng nhân dân tỉnh đã thông qua Nghị quyết </w:t>
      </w:r>
      <w:r>
        <w:rPr>
          <w:bCs/>
          <w:color w:val="000000" w:themeColor="text1"/>
          <w:sz w:val="28"/>
          <w:szCs w:val="28"/>
          <w:lang w:val="vi-VN"/>
        </w:rPr>
        <w:t>30/2026/NQ-HĐND</w:t>
      </w:r>
      <w:r>
        <w:rPr>
          <w:color w:val="000000" w:themeColor="text1"/>
          <w:sz w:val="28"/>
          <w:szCs w:val="28"/>
        </w:rPr>
        <w:t xml:space="preserve"> </w:t>
      </w:r>
      <w:r>
        <w:rPr>
          <w:color w:val="000000" w:themeColor="text1"/>
          <w:sz w:val="28"/>
          <w:szCs w:val="28"/>
        </w:rPr>
        <w:t xml:space="preserve">Quy định mức hỗ trợ cho </w:t>
      </w:r>
      <w:r>
        <w:rPr>
          <w:color w:val="000000" w:themeColor="text1"/>
          <w:sz w:val="28"/>
          <w:szCs w:val="28"/>
          <w:lang w:val="vi-VN"/>
        </w:rPr>
        <w:t xml:space="preserve">người </w:t>
      </w:r>
      <w:r>
        <w:rPr>
          <w:color w:val="000000" w:themeColor="text1"/>
          <w:sz w:val="28"/>
          <w:szCs w:val="28"/>
        </w:rPr>
        <w:t>giám định tư pháp</w:t>
      </w:r>
      <w:r>
        <w:rPr>
          <w:color w:val="000000" w:themeColor="text1"/>
          <w:sz w:val="28"/>
          <w:szCs w:val="28"/>
          <w:lang w:val="vi-VN"/>
        </w:rPr>
        <w:t>; người giúp việc</w:t>
      </w:r>
      <w:r>
        <w:rPr>
          <w:color w:val="000000" w:themeColor="text1"/>
          <w:sz w:val="28"/>
          <w:szCs w:val="28"/>
          <w:lang w:val="vi-VN"/>
        </w:rPr>
        <w:t xml:space="preserve"> </w:t>
      </w:r>
      <w:r>
        <w:rPr>
          <w:color w:val="000000" w:themeColor="text1"/>
          <w:sz w:val="28"/>
          <w:szCs w:val="28"/>
          <w:lang w:val="vi-VN"/>
        </w:rPr>
        <w:t>cho người giám định tư pháp trên địa bàn tỉnh Điện Biên</w:t>
      </w:r>
      <w:r>
        <w:rPr>
          <w:color w:val="000000" w:themeColor="text1"/>
          <w:sz w:val="28"/>
          <w:szCs w:val="28"/>
          <w:lang w:val="vi-VN"/>
        </w:rPr>
        <w:t xml:space="preserve"> có hiệu lực thi hành từ ngày 26 tháng 7 năm 2026.</w:t>
      </w:r>
    </w:p>
    <w:p>
      <w:pPr>
        <w:spacing w:before="120" w:after="120" w:line="360" w:lineRule="exact"/>
        <w:ind w:firstLine="720"/>
        <w:jc w:val="both"/>
        <w:rPr>
          <w:b/>
          <w:color w:val="000000" w:themeColor="text1"/>
          <w:sz w:val="28"/>
          <w:szCs w:val="28"/>
          <w:lang w:val="vi-VN"/>
        </w:rPr>
      </w:pPr>
      <w:r>
        <w:rPr>
          <w:color w:val="000000" w:themeColor="text1"/>
          <w:sz w:val="28"/>
          <w:szCs w:val="28"/>
          <w:lang w:val="vi-VN"/>
        </w:rPr>
        <w:t xml:space="preserve">Sau đây thay mặt Phòng Hành chính tư pháp và Bổ trợ tư pháp, tôi xin thông qua một số điểm mới của Nghị quyết so với </w:t>
      </w:r>
      <w:r>
        <w:rPr>
          <w:color w:val="000000" w:themeColor="text1"/>
          <w:sz w:val="28"/>
          <w:szCs w:val="28"/>
          <w:lang w:val="vi-VN"/>
        </w:rPr>
        <w:t>Nghị quyết số</w:t>
      </w:r>
      <w:r>
        <w:rPr>
          <w:color w:val="000000" w:themeColor="text1"/>
          <w:sz w:val="28"/>
          <w:szCs w:val="28"/>
        </w:rPr>
        <w:t xml:space="preserve"> 22/2020/NQ-HĐND</w:t>
      </w:r>
      <w:r>
        <w:rPr>
          <w:color w:val="000000" w:themeColor="text1"/>
          <w:sz w:val="28"/>
          <w:szCs w:val="28"/>
          <w:lang w:val="vi-VN"/>
        </w:rPr>
        <w:t xml:space="preserve"> ngày 15/7/2020 của HĐND tỉnh</w:t>
      </w:r>
      <w:r>
        <w:rPr>
          <w:color w:val="000000" w:themeColor="text1"/>
          <w:sz w:val="28"/>
          <w:szCs w:val="28"/>
          <w:lang w:val="vi-VN"/>
        </w:rPr>
        <w:t>, cụ thể như sau:</w:t>
      </w:r>
    </w:p>
    <w:p>
      <w:pPr>
        <w:jc w:val="center"/>
        <w:rPr>
          <w:color w:val="000000" w:themeColor="text1"/>
        </w:rPr>
      </w:pPr>
    </w:p>
    <w:tbl>
      <w:tblPr>
        <w:tblStyle w:val="TableGrid"/>
        <w:tblW w:w="10773" w:type="dxa"/>
        <w:tblInd w:w="-714" w:type="dxa"/>
        <w:tblLayout w:type="fixed"/>
        <w:tblLook w:val="04A0" w:firstRow="1" w:lastRow="0" w:firstColumn="1" w:lastColumn="0" w:noHBand="0" w:noVBand="1"/>
      </w:tblPr>
      <w:tblGrid>
        <w:gridCol w:w="5387"/>
        <w:gridCol w:w="5386"/>
      </w:tblGrid>
      <w:tr>
        <w:trPr>
          <w:trHeight w:val="910"/>
          <w:tblHeader/>
        </w:trPr>
        <w:tc>
          <w:tcPr>
            <w:tcW w:w="5387" w:type="dxa"/>
            <w:vAlign w:val="center"/>
          </w:tcPr>
          <w:p>
            <w:pPr>
              <w:spacing w:before="120" w:after="120"/>
              <w:jc w:val="center"/>
              <w:rPr>
                <w:b/>
                <w:color w:val="000000" w:themeColor="text1"/>
                <w:sz w:val="28"/>
                <w:szCs w:val="28"/>
                <w:lang w:val="vi-VN"/>
              </w:rPr>
            </w:pPr>
            <w:bookmarkStart w:id="1" w:name="dieu_1"/>
            <w:bookmarkStart w:id="2" w:name="dieu_3"/>
            <w:bookmarkEnd w:id="0"/>
            <w:r>
              <w:rPr>
                <w:b/>
                <w:color w:val="000000" w:themeColor="text1"/>
                <w:sz w:val="28"/>
                <w:szCs w:val="28"/>
                <w:lang w:val="vi-VN"/>
              </w:rPr>
              <w:t>Nghị quyết số</w:t>
            </w:r>
            <w:r>
              <w:rPr>
                <w:b/>
                <w:color w:val="000000" w:themeColor="text1"/>
                <w:sz w:val="28"/>
                <w:szCs w:val="28"/>
              </w:rPr>
              <w:t xml:space="preserve"> 22/2020/NQ-HĐND</w:t>
            </w:r>
            <w:r>
              <w:rPr>
                <w:b/>
                <w:color w:val="000000" w:themeColor="text1"/>
                <w:sz w:val="28"/>
                <w:szCs w:val="28"/>
                <w:lang w:val="vi-VN"/>
              </w:rPr>
              <w:t xml:space="preserve"> ngày </w:t>
            </w:r>
            <w:bookmarkStart w:id="3" w:name="_GoBack"/>
            <w:bookmarkEnd w:id="3"/>
            <w:r>
              <w:rPr>
                <w:b/>
                <w:color w:val="000000" w:themeColor="text1"/>
                <w:sz w:val="28"/>
                <w:szCs w:val="28"/>
                <w:lang w:val="vi-VN"/>
              </w:rPr>
              <w:t xml:space="preserve">15/7/2020 của HĐND tỉnh </w:t>
            </w:r>
            <w:r>
              <w:rPr>
                <w:b/>
                <w:color w:val="000000" w:themeColor="text1"/>
                <w:sz w:val="28"/>
                <w:szCs w:val="28"/>
              </w:rPr>
              <w:t>Quy định mức hỗ trợ cho giám định viên tư pháp, người giám định tư pháp theo vụ việc; người giúp việc cho giám định tư pháp trên địa bàn tỉnh Điện Biên</w:t>
            </w:r>
          </w:p>
        </w:tc>
        <w:tc>
          <w:tcPr>
            <w:tcW w:w="5386" w:type="dxa"/>
            <w:vAlign w:val="center"/>
          </w:tcPr>
          <w:p>
            <w:pPr>
              <w:jc w:val="center"/>
              <w:rPr>
                <w:b/>
                <w:bCs/>
                <w:color w:val="000000" w:themeColor="text1"/>
                <w:sz w:val="28"/>
                <w:szCs w:val="28"/>
                <w:lang w:val="vi-VN"/>
              </w:rPr>
            </w:pPr>
            <w:r>
              <w:rPr>
                <w:b/>
                <w:bCs/>
                <w:color w:val="000000" w:themeColor="text1"/>
                <w:sz w:val="28"/>
                <w:szCs w:val="28"/>
                <w:lang w:val="vi-VN"/>
              </w:rPr>
              <w:t>Nghị quyết số 30/2026/NQ-HĐND</w:t>
            </w:r>
            <w:r>
              <w:rPr>
                <w:b/>
                <w:bCs/>
                <w:color w:val="000000" w:themeColor="text1"/>
                <w:sz w:val="28"/>
                <w:szCs w:val="28"/>
                <w:lang w:val="vi-VN"/>
              </w:rPr>
              <w:t xml:space="preserve"> </w:t>
            </w:r>
            <w:r>
              <w:rPr>
                <w:b/>
                <w:bCs/>
                <w:color w:val="000000" w:themeColor="text1"/>
                <w:sz w:val="28"/>
                <w:szCs w:val="28"/>
                <w:lang w:val="vi-VN"/>
              </w:rPr>
              <w:t>ngày 16/7/2026 của Hội đồng nhân dân tỉnh</w:t>
            </w:r>
          </w:p>
          <w:p>
            <w:pPr>
              <w:jc w:val="center"/>
              <w:rPr>
                <w:b/>
                <w:color w:val="000000" w:themeColor="text1"/>
                <w:sz w:val="28"/>
                <w:szCs w:val="28"/>
                <w:lang w:val="vi-VN"/>
              </w:rPr>
            </w:pPr>
            <w:r>
              <w:rPr>
                <w:b/>
                <w:color w:val="000000" w:themeColor="text1"/>
                <w:sz w:val="28"/>
                <w:szCs w:val="28"/>
              </w:rPr>
              <w:t xml:space="preserve">Quy định mức hỗ trợ cho </w:t>
            </w:r>
            <w:r>
              <w:rPr>
                <w:b/>
                <w:color w:val="000000" w:themeColor="text1"/>
                <w:sz w:val="28"/>
                <w:szCs w:val="28"/>
                <w:lang w:val="vi-VN"/>
              </w:rPr>
              <w:t xml:space="preserve">người </w:t>
            </w:r>
            <w:r>
              <w:rPr>
                <w:b/>
                <w:color w:val="000000" w:themeColor="text1"/>
                <w:sz w:val="28"/>
                <w:szCs w:val="28"/>
              </w:rPr>
              <w:t>giám định tư pháp</w:t>
            </w:r>
            <w:r>
              <w:rPr>
                <w:b/>
                <w:color w:val="000000" w:themeColor="text1"/>
                <w:sz w:val="28"/>
                <w:szCs w:val="28"/>
                <w:lang w:val="vi-VN"/>
              </w:rPr>
              <w:t>; người giúp việc</w:t>
            </w:r>
            <w:r>
              <w:rPr>
                <w:b/>
                <w:color w:val="000000" w:themeColor="text1"/>
                <w:sz w:val="28"/>
                <w:szCs w:val="28"/>
                <w:lang w:val="vi-VN"/>
              </w:rPr>
              <w:t xml:space="preserve"> </w:t>
            </w:r>
            <w:r>
              <w:rPr>
                <w:b/>
                <w:color w:val="000000" w:themeColor="text1"/>
                <w:sz w:val="28"/>
                <w:szCs w:val="28"/>
                <w:lang w:val="vi-VN"/>
              </w:rPr>
              <w:t>cho người giám định tư pháp trên địa bàn tỉnh Điện Biên</w:t>
            </w:r>
          </w:p>
          <w:p>
            <w:pPr>
              <w:spacing w:before="120" w:after="120"/>
              <w:jc w:val="center"/>
              <w:rPr>
                <w:b/>
                <w:color w:val="000000" w:themeColor="text1"/>
                <w:sz w:val="28"/>
                <w:szCs w:val="28"/>
              </w:rPr>
            </w:pPr>
          </w:p>
        </w:tc>
      </w:tr>
      <w:tr>
        <w:trPr>
          <w:trHeight w:val="424"/>
        </w:trPr>
        <w:tc>
          <w:tcPr>
            <w:tcW w:w="5387" w:type="dxa"/>
            <w:vAlign w:val="center"/>
          </w:tcPr>
          <w:p>
            <w:pPr>
              <w:pStyle w:val="NormalWeb"/>
              <w:shd w:val="clear" w:color="auto" w:fill="FFFFFF"/>
              <w:spacing w:before="120" w:beforeAutospacing="0" w:after="120" w:afterAutospacing="0"/>
              <w:jc w:val="both"/>
              <w:rPr>
                <w:b/>
                <w:color w:val="000000" w:themeColor="text1"/>
                <w:sz w:val="28"/>
                <w:szCs w:val="28"/>
              </w:rPr>
            </w:pPr>
            <w:r>
              <w:rPr>
                <w:b/>
                <w:color w:val="000000" w:themeColor="text1"/>
                <w:sz w:val="28"/>
                <w:szCs w:val="28"/>
              </w:rPr>
              <w:t xml:space="preserve">Điều 1. </w:t>
            </w:r>
            <w:r>
              <w:rPr>
                <w:color w:val="000000" w:themeColor="text1"/>
                <w:sz w:val="28"/>
                <w:szCs w:val="28"/>
              </w:rPr>
              <w:t>Phạm vi điều chỉnh; đối tượng áp dụng</w:t>
            </w:r>
          </w:p>
          <w:p>
            <w:pPr>
              <w:pStyle w:val="NormalWeb"/>
              <w:shd w:val="clear" w:color="auto" w:fill="FFFFFF"/>
              <w:spacing w:before="120" w:beforeAutospacing="0" w:after="120" w:afterAutospacing="0"/>
              <w:jc w:val="both"/>
              <w:rPr>
                <w:color w:val="000000" w:themeColor="text1"/>
                <w:sz w:val="28"/>
                <w:szCs w:val="28"/>
              </w:rPr>
            </w:pPr>
            <w:r>
              <w:rPr>
                <w:color w:val="000000" w:themeColor="text1"/>
                <w:sz w:val="28"/>
                <w:szCs w:val="28"/>
              </w:rPr>
              <w:t>1. Phạm vi điều chỉnh:</w:t>
            </w:r>
          </w:p>
          <w:p>
            <w:pPr>
              <w:pStyle w:val="NormalWeb"/>
              <w:shd w:val="clear" w:color="auto" w:fill="FFFFFF"/>
              <w:spacing w:before="120" w:beforeAutospacing="0" w:after="120" w:afterAutospacing="0"/>
              <w:jc w:val="both"/>
              <w:rPr>
                <w:color w:val="000000" w:themeColor="text1"/>
                <w:sz w:val="28"/>
                <w:szCs w:val="28"/>
              </w:rPr>
            </w:pPr>
            <w:r>
              <w:rPr>
                <w:color w:val="000000" w:themeColor="text1"/>
                <w:sz w:val="28"/>
                <w:szCs w:val="28"/>
              </w:rPr>
              <w:t>Nghị quyết này quy định mức hỗ trợ cho giám định viên tư pháp; người giám định tư pháp theo vụ việc; người giúp việc cho giám định tư pháp trên địa bàn tỉnh Điện Biên.</w:t>
            </w:r>
          </w:p>
          <w:p>
            <w:pPr>
              <w:pStyle w:val="NormalWeb"/>
              <w:shd w:val="clear" w:color="auto" w:fill="FFFFFF"/>
              <w:spacing w:before="120" w:beforeAutospacing="0" w:after="120" w:afterAutospacing="0"/>
              <w:jc w:val="both"/>
              <w:rPr>
                <w:color w:val="000000" w:themeColor="text1"/>
                <w:sz w:val="28"/>
                <w:szCs w:val="28"/>
              </w:rPr>
            </w:pPr>
            <w:r>
              <w:rPr>
                <w:color w:val="000000" w:themeColor="text1"/>
                <w:sz w:val="28"/>
                <w:szCs w:val="28"/>
              </w:rPr>
              <w:t>2. Đối tượng áp dụng:</w:t>
            </w:r>
          </w:p>
          <w:p>
            <w:pPr>
              <w:pStyle w:val="NormalWeb"/>
              <w:shd w:val="clear" w:color="auto" w:fill="FFFFFF"/>
              <w:spacing w:before="120" w:beforeAutospacing="0" w:after="120" w:afterAutospacing="0"/>
              <w:jc w:val="both"/>
              <w:rPr>
                <w:color w:val="000000" w:themeColor="text1"/>
                <w:sz w:val="28"/>
                <w:szCs w:val="28"/>
              </w:rPr>
            </w:pPr>
            <w:r>
              <w:rPr>
                <w:color w:val="000000" w:themeColor="text1"/>
                <w:sz w:val="28"/>
                <w:szCs w:val="28"/>
              </w:rPr>
              <w:t>a) Giám định viên tư pháp; người giúp việc cho giám định viên tư pháp; người giám định tư pháp theo vụ việc; người giúp việc cho người giám định tư pháp theo vụ việc.</w:t>
            </w:r>
          </w:p>
          <w:p>
            <w:pPr>
              <w:pStyle w:val="NormalWeb"/>
              <w:shd w:val="clear" w:color="auto" w:fill="FFFFFF"/>
              <w:spacing w:before="120" w:beforeAutospacing="0" w:after="120" w:afterAutospacing="0"/>
              <w:jc w:val="both"/>
              <w:rPr>
                <w:color w:val="000000" w:themeColor="text1"/>
                <w:sz w:val="28"/>
                <w:szCs w:val="28"/>
              </w:rPr>
            </w:pPr>
            <w:r>
              <w:rPr>
                <w:color w:val="000000" w:themeColor="text1"/>
                <w:sz w:val="28"/>
                <w:szCs w:val="28"/>
              </w:rPr>
              <w:t>b) Các cơ quan, tổ chức, cá nhân có liên quan.</w:t>
            </w:r>
          </w:p>
        </w:tc>
        <w:tc>
          <w:tcPr>
            <w:tcW w:w="5386" w:type="dxa"/>
            <w:vAlign w:val="center"/>
          </w:tcPr>
          <w:p>
            <w:pPr>
              <w:spacing w:before="120" w:after="120"/>
              <w:jc w:val="both"/>
              <w:rPr>
                <w:bCs/>
                <w:color w:val="000000" w:themeColor="text1"/>
                <w:sz w:val="28"/>
                <w:szCs w:val="28"/>
              </w:rPr>
            </w:pPr>
            <w:r>
              <w:rPr>
                <w:b/>
                <w:bCs/>
                <w:color w:val="000000" w:themeColor="text1"/>
                <w:sz w:val="28"/>
                <w:szCs w:val="28"/>
              </w:rPr>
              <w:t>Điều 1.</w:t>
            </w:r>
            <w:r>
              <w:rPr>
                <w:bCs/>
                <w:color w:val="000000" w:themeColor="text1"/>
                <w:sz w:val="28"/>
                <w:szCs w:val="28"/>
              </w:rPr>
              <w:t xml:space="preserve"> Phạm vi điều chỉnh và đối tượng áp dụng</w:t>
            </w:r>
          </w:p>
          <w:p>
            <w:pPr>
              <w:spacing w:before="120" w:after="120"/>
              <w:jc w:val="both"/>
              <w:rPr>
                <w:bCs/>
                <w:color w:val="000000" w:themeColor="text1"/>
                <w:sz w:val="28"/>
                <w:szCs w:val="28"/>
                <w:lang w:val="vi-VN"/>
              </w:rPr>
            </w:pPr>
            <w:r>
              <w:rPr>
                <w:bCs/>
                <w:color w:val="000000" w:themeColor="text1"/>
                <w:sz w:val="28"/>
                <w:szCs w:val="28"/>
              </w:rPr>
              <w:t>1. Phạm vi điều chỉnh</w:t>
            </w:r>
          </w:p>
          <w:p>
            <w:pPr>
              <w:spacing w:before="120" w:after="120"/>
              <w:jc w:val="both"/>
              <w:rPr>
                <w:bCs/>
                <w:color w:val="000000" w:themeColor="text1"/>
                <w:sz w:val="28"/>
                <w:szCs w:val="28"/>
              </w:rPr>
            </w:pPr>
            <w:r>
              <w:rPr>
                <w:bCs/>
                <w:color w:val="000000" w:themeColor="text1"/>
                <w:sz w:val="28"/>
                <w:szCs w:val="28"/>
              </w:rPr>
              <w:t>Nghị quyết này quy định mức hỗ trợ cho giám định viên tư pháp, người giám định tư pháp theo vụ việc; người giúp việc cho giám định viên tư pháp, người giám định tư pháp theo vụ việc làm việc tại các cơ quan nhà nước, đơn vị sự nghiệp công lập trên địa bàn tỉnh Điện Biên.</w:t>
            </w:r>
          </w:p>
          <w:p>
            <w:pPr>
              <w:spacing w:before="120" w:after="120"/>
              <w:jc w:val="both"/>
              <w:rPr>
                <w:bCs/>
                <w:i/>
                <w:color w:val="000000" w:themeColor="text1"/>
                <w:sz w:val="28"/>
                <w:szCs w:val="28"/>
                <w:lang w:val="vi-VN"/>
              </w:rPr>
            </w:pPr>
            <w:r>
              <w:rPr>
                <w:bCs/>
                <w:i/>
                <w:color w:val="000000" w:themeColor="text1"/>
                <w:sz w:val="28"/>
                <w:szCs w:val="28"/>
                <w:lang w:val="vi-VN"/>
              </w:rPr>
              <w:t>- Những đ</w:t>
            </w:r>
            <w:r>
              <w:rPr>
                <w:bCs/>
                <w:i/>
                <w:color w:val="000000" w:themeColor="text1"/>
                <w:sz w:val="28"/>
                <w:szCs w:val="28"/>
                <w:lang w:val="vi-VN"/>
              </w:rPr>
              <w:t>iểm mới</w:t>
            </w:r>
            <w:r>
              <w:rPr>
                <w:bCs/>
                <w:i/>
                <w:color w:val="000000" w:themeColor="text1"/>
                <w:sz w:val="28"/>
                <w:szCs w:val="28"/>
                <w:lang w:val="vi-VN"/>
              </w:rPr>
              <w:t>:</w:t>
            </w:r>
          </w:p>
          <w:p>
            <w:pPr>
              <w:spacing w:before="120" w:after="120"/>
              <w:jc w:val="both"/>
              <w:rPr>
                <w:bCs/>
                <w:i/>
                <w:color w:val="000000" w:themeColor="text1"/>
                <w:sz w:val="28"/>
                <w:szCs w:val="28"/>
                <w:lang w:val="vi-VN"/>
              </w:rPr>
            </w:pPr>
            <w:r>
              <w:rPr>
                <w:bCs/>
                <w:i/>
                <w:color w:val="000000" w:themeColor="text1"/>
                <w:sz w:val="28"/>
                <w:szCs w:val="28"/>
                <w:lang w:val="vi-VN"/>
              </w:rPr>
              <w:t>+ Q</w:t>
            </w:r>
            <w:r>
              <w:rPr>
                <w:bCs/>
                <w:i/>
                <w:color w:val="000000" w:themeColor="text1"/>
                <w:sz w:val="28"/>
                <w:szCs w:val="28"/>
                <w:lang w:val="vi-VN"/>
              </w:rPr>
              <w:t xml:space="preserve">uy định </w:t>
            </w:r>
            <w:r>
              <w:rPr>
                <w:bCs/>
                <w:i/>
                <w:color w:val="000000" w:themeColor="text1"/>
                <w:sz w:val="28"/>
                <w:szCs w:val="28"/>
                <w:lang w:val="vi-VN"/>
              </w:rPr>
              <w:t>đầy đủ hơn, trong đó bổ sung về</w:t>
            </w:r>
            <w:r>
              <w:rPr>
                <w:bCs/>
                <w:i/>
                <w:color w:val="000000" w:themeColor="text1"/>
                <w:sz w:val="28"/>
                <w:szCs w:val="28"/>
                <w:lang w:val="vi-VN"/>
              </w:rPr>
              <w:t xml:space="preserve"> </w:t>
            </w:r>
            <w:r>
              <w:rPr>
                <w:bCs/>
                <w:i/>
                <w:color w:val="000000" w:themeColor="text1"/>
                <w:sz w:val="28"/>
                <w:szCs w:val="28"/>
              </w:rPr>
              <w:t>người giúp việc cho người giám định tư pháp theo vụ việc làm việc</w:t>
            </w:r>
            <w:r>
              <w:rPr>
                <w:bCs/>
                <w:i/>
                <w:color w:val="000000" w:themeColor="text1"/>
                <w:sz w:val="28"/>
                <w:szCs w:val="28"/>
                <w:lang w:val="vi-VN"/>
              </w:rPr>
              <w:t xml:space="preserve"> để làm rõ hơn phạm vi điều chỉnh của Nghị quyết.</w:t>
            </w:r>
          </w:p>
          <w:p>
            <w:pPr>
              <w:spacing w:before="120" w:after="120"/>
              <w:jc w:val="both"/>
              <w:rPr>
                <w:bCs/>
                <w:i/>
                <w:color w:val="000000" w:themeColor="text1"/>
                <w:sz w:val="28"/>
                <w:szCs w:val="28"/>
                <w:lang w:val="vi-VN"/>
              </w:rPr>
            </w:pPr>
            <w:r>
              <w:rPr>
                <w:bCs/>
                <w:i/>
                <w:color w:val="000000" w:themeColor="text1"/>
                <w:sz w:val="28"/>
                <w:szCs w:val="28"/>
                <w:lang w:val="vi-VN"/>
              </w:rPr>
              <w:t xml:space="preserve">+ Quy định cụ thể, rõ ràng các đối tượng làm việc tại </w:t>
            </w:r>
            <w:r>
              <w:rPr>
                <w:bCs/>
                <w:i/>
                <w:color w:val="000000" w:themeColor="text1"/>
                <w:sz w:val="28"/>
                <w:szCs w:val="28"/>
              </w:rPr>
              <w:t>các cơ quan nhà nước, đơn vị sự nghiệp công lập trên địa bàn tỉnh Điện Biên</w:t>
            </w:r>
          </w:p>
          <w:p>
            <w:pPr>
              <w:spacing w:before="120" w:after="120"/>
              <w:jc w:val="both"/>
              <w:rPr>
                <w:bCs/>
                <w:color w:val="000000" w:themeColor="text1"/>
                <w:sz w:val="28"/>
                <w:szCs w:val="28"/>
              </w:rPr>
            </w:pPr>
            <w:r>
              <w:rPr>
                <w:bCs/>
                <w:color w:val="000000" w:themeColor="text1"/>
                <w:sz w:val="28"/>
                <w:szCs w:val="28"/>
              </w:rPr>
              <w:t>2. Đối tượng áp dụng</w:t>
            </w:r>
          </w:p>
          <w:p>
            <w:pPr>
              <w:spacing w:before="120" w:after="120"/>
              <w:jc w:val="both"/>
              <w:rPr>
                <w:color w:val="000000" w:themeColor="text1"/>
                <w:sz w:val="28"/>
                <w:szCs w:val="28"/>
                <w:lang w:val="vi-VN"/>
              </w:rPr>
            </w:pPr>
            <w:r>
              <w:rPr>
                <w:color w:val="000000" w:themeColor="text1"/>
                <w:sz w:val="28"/>
                <w:szCs w:val="28"/>
                <w:lang w:val="vi-VN"/>
              </w:rPr>
              <w:t>a) Giám định viên tư pháp;</w:t>
            </w:r>
          </w:p>
          <w:p>
            <w:pPr>
              <w:spacing w:before="120" w:after="120"/>
              <w:jc w:val="both"/>
              <w:rPr>
                <w:color w:val="000000" w:themeColor="text1"/>
                <w:sz w:val="28"/>
                <w:szCs w:val="28"/>
                <w:lang w:val="vi-VN"/>
              </w:rPr>
            </w:pPr>
            <w:r>
              <w:rPr>
                <w:color w:val="000000" w:themeColor="text1"/>
                <w:sz w:val="28"/>
                <w:szCs w:val="28"/>
                <w:lang w:val="vi-VN"/>
              </w:rPr>
              <w:t>b) Người giám định tư pháp theo vụ việc;</w:t>
            </w:r>
          </w:p>
          <w:p>
            <w:pPr>
              <w:spacing w:before="120" w:after="120"/>
              <w:jc w:val="both"/>
              <w:rPr>
                <w:color w:val="000000" w:themeColor="text1"/>
                <w:sz w:val="28"/>
                <w:szCs w:val="28"/>
                <w:lang w:val="vi-VN"/>
              </w:rPr>
            </w:pPr>
            <w:r>
              <w:rPr>
                <w:color w:val="000000" w:themeColor="text1"/>
                <w:sz w:val="28"/>
                <w:szCs w:val="28"/>
                <w:lang w:val="vi-VN"/>
              </w:rPr>
              <w:lastRenderedPageBreak/>
              <w:t>c) Người giúp việc cho giám định viên tư pháp;</w:t>
            </w:r>
          </w:p>
          <w:p>
            <w:pPr>
              <w:spacing w:before="120" w:after="120"/>
              <w:jc w:val="both"/>
              <w:rPr>
                <w:color w:val="000000" w:themeColor="text1"/>
                <w:sz w:val="28"/>
                <w:szCs w:val="28"/>
                <w:lang w:val="vi-VN"/>
              </w:rPr>
            </w:pPr>
            <w:r>
              <w:rPr>
                <w:color w:val="000000" w:themeColor="text1"/>
                <w:sz w:val="28"/>
                <w:szCs w:val="28"/>
                <w:lang w:val="vi-VN"/>
              </w:rPr>
              <w:t>d) Người giúp việc cho người giám định tư pháp theo vụ việc</w:t>
            </w:r>
            <w:r>
              <w:rPr>
                <w:color w:val="000000" w:themeColor="text1"/>
                <w:sz w:val="28"/>
                <w:szCs w:val="28"/>
                <w:lang w:val="vi-VN"/>
              </w:rPr>
              <w:t>;</w:t>
            </w:r>
          </w:p>
          <w:p>
            <w:pPr>
              <w:spacing w:before="120" w:after="120"/>
              <w:jc w:val="both"/>
              <w:rPr>
                <w:bCs/>
                <w:color w:val="000000" w:themeColor="text1"/>
                <w:sz w:val="28"/>
                <w:szCs w:val="28"/>
                <w:lang w:val="vi-VN"/>
              </w:rPr>
            </w:pPr>
            <w:r>
              <w:rPr>
                <w:bCs/>
                <w:color w:val="000000" w:themeColor="text1"/>
                <w:sz w:val="28"/>
                <w:szCs w:val="28"/>
                <w:lang w:val="vi-VN"/>
              </w:rPr>
              <w:t>đ) Các cơ quan, đơn vị, tổ chức, cá nhân có liên quan.</w:t>
            </w:r>
          </w:p>
          <w:p>
            <w:pPr>
              <w:spacing w:before="120" w:after="120"/>
              <w:jc w:val="both"/>
              <w:rPr>
                <w:i/>
                <w:iCs/>
                <w:noProof/>
                <w:color w:val="000000" w:themeColor="text1"/>
                <w:sz w:val="28"/>
                <w:szCs w:val="28"/>
              </w:rPr>
            </w:pPr>
            <w:r>
              <w:rPr>
                <w:bCs/>
                <w:i/>
                <w:color w:val="000000" w:themeColor="text1"/>
                <w:sz w:val="28"/>
                <w:szCs w:val="28"/>
                <w:lang w:val="vi-VN"/>
              </w:rPr>
              <w:t>- Những điểm mới: Các đối tượng được cơ cấu chi tiết thành từng điểm. Quy định này mang tính khoa học hơn, thuận tiện trong việc áp dụng pháp luật của các cơ quan, đơn vị liên quan</w:t>
            </w:r>
          </w:p>
        </w:tc>
      </w:tr>
      <w:tr>
        <w:trPr>
          <w:trHeight w:val="417"/>
        </w:trPr>
        <w:tc>
          <w:tcPr>
            <w:tcW w:w="5387" w:type="dxa"/>
          </w:tcPr>
          <w:p>
            <w:pPr>
              <w:spacing w:before="120" w:after="120"/>
              <w:jc w:val="both"/>
              <w:rPr>
                <w:b/>
                <w:bCs/>
                <w:color w:val="000000" w:themeColor="text1"/>
                <w:sz w:val="28"/>
                <w:szCs w:val="28"/>
              </w:rPr>
            </w:pPr>
            <w:r>
              <w:rPr>
                <w:b/>
                <w:bCs/>
                <w:color w:val="000000" w:themeColor="text1"/>
                <w:sz w:val="28"/>
                <w:szCs w:val="28"/>
              </w:rPr>
              <w:lastRenderedPageBreak/>
              <w:t>Điều 2. Mức hỗ trợ</w:t>
            </w:r>
          </w:p>
          <w:p>
            <w:pPr>
              <w:spacing w:before="120" w:after="120"/>
              <w:jc w:val="both"/>
              <w:rPr>
                <w:bCs/>
                <w:color w:val="000000" w:themeColor="text1"/>
                <w:sz w:val="28"/>
                <w:szCs w:val="28"/>
              </w:rPr>
            </w:pPr>
            <w:r>
              <w:rPr>
                <w:bCs/>
                <w:color w:val="000000" w:themeColor="text1"/>
                <w:sz w:val="28"/>
                <w:szCs w:val="28"/>
              </w:rPr>
              <w:t>1. Giám định viên tư pháp làm việc tại Phòng Kỹ thuật hình sự Công an tỉnh và Trung tâm Pháp y tỉnh: 700.000 đồng/người/tháng.</w:t>
            </w:r>
          </w:p>
          <w:p>
            <w:pPr>
              <w:spacing w:before="120" w:after="120"/>
              <w:jc w:val="both"/>
              <w:rPr>
                <w:bCs/>
                <w:color w:val="000000" w:themeColor="text1"/>
                <w:sz w:val="28"/>
                <w:szCs w:val="28"/>
              </w:rPr>
            </w:pPr>
            <w:r>
              <w:rPr>
                <w:bCs/>
                <w:color w:val="000000" w:themeColor="text1"/>
                <w:sz w:val="28"/>
                <w:szCs w:val="28"/>
              </w:rPr>
              <w:t>2. Người giúp việc cho giám định viên tư pháp làm việc tại Phòng Kỹ thuật hình sự Công an tỉnh và Trung tâm Pháp y tỉnh: 400.000 đồng/người/tháng.</w:t>
            </w:r>
          </w:p>
          <w:p>
            <w:pPr>
              <w:spacing w:before="120" w:after="120"/>
              <w:jc w:val="both"/>
              <w:rPr>
                <w:bCs/>
                <w:color w:val="000000" w:themeColor="text1"/>
                <w:sz w:val="28"/>
                <w:szCs w:val="28"/>
              </w:rPr>
            </w:pPr>
            <w:r>
              <w:rPr>
                <w:bCs/>
                <w:color w:val="000000" w:themeColor="text1"/>
                <w:sz w:val="28"/>
                <w:szCs w:val="28"/>
              </w:rPr>
              <w:t>3. Giám định viên, người giám định tư pháp theo vụ việc: 1.000.000 đồng/vụ việc.</w:t>
            </w:r>
          </w:p>
          <w:p>
            <w:pPr>
              <w:spacing w:before="120" w:after="120"/>
              <w:jc w:val="both"/>
              <w:rPr>
                <w:b/>
                <w:bCs/>
                <w:color w:val="000000" w:themeColor="text1"/>
                <w:sz w:val="28"/>
                <w:szCs w:val="28"/>
              </w:rPr>
            </w:pPr>
            <w:r>
              <w:rPr>
                <w:bCs/>
                <w:color w:val="000000" w:themeColor="text1"/>
                <w:sz w:val="28"/>
                <w:szCs w:val="28"/>
              </w:rPr>
              <w:t>4. Người giúp việc cho giám định viên, người giám định tư pháp theo vụ việc: 500.000 đồng/vụ việc.</w:t>
            </w:r>
          </w:p>
        </w:tc>
        <w:tc>
          <w:tcPr>
            <w:tcW w:w="5386" w:type="dxa"/>
          </w:tcPr>
          <w:p>
            <w:pPr>
              <w:spacing w:before="120" w:after="120" w:line="360" w:lineRule="exact"/>
              <w:jc w:val="both"/>
              <w:rPr>
                <w:b/>
                <w:color w:val="000000" w:themeColor="text1"/>
                <w:sz w:val="28"/>
                <w:szCs w:val="28"/>
                <w:lang w:val="vi-VN"/>
              </w:rPr>
            </w:pPr>
            <w:r>
              <w:rPr>
                <w:b/>
                <w:bCs/>
                <w:color w:val="000000" w:themeColor="text1"/>
                <w:sz w:val="28"/>
                <w:szCs w:val="28"/>
                <w:lang w:val="vi-VN"/>
              </w:rPr>
              <w:t>Điều 2.</w:t>
            </w:r>
            <w:r>
              <w:rPr>
                <w:b/>
                <w:color w:val="000000" w:themeColor="text1"/>
                <w:sz w:val="28"/>
                <w:szCs w:val="28"/>
                <w:lang w:val="vi-VN"/>
              </w:rPr>
              <w:t xml:space="preserve"> Mức hỗ trợ</w:t>
            </w:r>
          </w:p>
          <w:p>
            <w:pPr>
              <w:spacing w:before="120" w:after="120" w:line="360" w:lineRule="exact"/>
              <w:ind w:firstLine="34"/>
              <w:jc w:val="both"/>
              <w:rPr>
                <w:bCs/>
                <w:color w:val="000000" w:themeColor="text1"/>
                <w:sz w:val="28"/>
                <w:szCs w:val="28"/>
                <w:lang w:val="vi-VN"/>
              </w:rPr>
            </w:pPr>
            <w:r>
              <w:rPr>
                <w:color w:val="000000" w:themeColor="text1"/>
                <w:sz w:val="28"/>
                <w:szCs w:val="28"/>
                <w:lang w:val="vi-VN"/>
              </w:rPr>
              <w:t xml:space="preserve">1. Giám định viên tư pháp làm việc tại Phòng Kỹ thuật hình sự thuộc Công an tỉnh và Trung tâm Pháp y thuộc Sở Y tế: </w:t>
            </w:r>
            <w:r>
              <w:rPr>
                <w:bCs/>
                <w:color w:val="000000" w:themeColor="text1"/>
                <w:sz w:val="28"/>
                <w:szCs w:val="28"/>
                <w:lang w:val="vi-VN"/>
              </w:rPr>
              <w:t>2.000.000 đồng/người/tháng.</w:t>
            </w:r>
          </w:p>
          <w:p>
            <w:pPr>
              <w:spacing w:before="120" w:after="120" w:line="360" w:lineRule="exact"/>
              <w:ind w:firstLine="34"/>
              <w:jc w:val="both"/>
              <w:rPr>
                <w:bCs/>
                <w:color w:val="000000" w:themeColor="text1"/>
                <w:spacing w:val="-8"/>
                <w:sz w:val="28"/>
                <w:szCs w:val="28"/>
                <w:lang w:val="vi-VN"/>
              </w:rPr>
            </w:pPr>
            <w:r>
              <w:rPr>
                <w:bCs/>
                <w:color w:val="000000" w:themeColor="text1"/>
                <w:spacing w:val="-8"/>
                <w:sz w:val="28"/>
                <w:szCs w:val="28"/>
                <w:lang w:val="vi-VN"/>
              </w:rPr>
              <w:t>2. Người giúp việc cho giám định viên tư pháp làm việc tại Phòng Kỹ thuật hình sự thuộc Công an tỉnh và Trung tâm Pháp y thuộc Sở Y tế: 1.000.000 đồng/người/tháng.</w:t>
            </w:r>
          </w:p>
          <w:p>
            <w:pPr>
              <w:spacing w:before="120" w:after="120" w:line="360" w:lineRule="exact"/>
              <w:ind w:firstLine="34"/>
              <w:jc w:val="both"/>
              <w:rPr>
                <w:bCs/>
                <w:color w:val="000000" w:themeColor="text1"/>
                <w:sz w:val="28"/>
                <w:szCs w:val="28"/>
                <w:lang w:val="vi-VN"/>
              </w:rPr>
            </w:pPr>
            <w:r>
              <w:rPr>
                <w:bCs/>
                <w:color w:val="000000" w:themeColor="text1"/>
                <w:sz w:val="28"/>
                <w:szCs w:val="28"/>
                <w:lang w:val="vi-VN"/>
              </w:rPr>
              <w:t xml:space="preserve">3. Giám định viên tư pháp, người giám định tư pháp theo vụ việc tại các </w:t>
            </w:r>
            <w:r>
              <w:rPr>
                <w:bCs/>
                <w:color w:val="000000" w:themeColor="text1"/>
                <w:spacing w:val="-4"/>
                <w:sz w:val="28"/>
                <w:szCs w:val="28"/>
                <w:lang w:val="vi-VN"/>
              </w:rPr>
              <w:t>cơ quan nhà nước, đơn vị sự nghiệp công lập khác trên địa bàn tỉnh Điện Biên</w:t>
            </w:r>
            <w:r>
              <w:rPr>
                <w:bCs/>
                <w:color w:val="000000" w:themeColor="text1"/>
                <w:sz w:val="28"/>
                <w:szCs w:val="28"/>
                <w:lang w:val="vi-VN"/>
              </w:rPr>
              <w:t>: 2.000.000 đồng/vụ việc.</w:t>
            </w:r>
          </w:p>
          <w:p>
            <w:pPr>
              <w:spacing w:before="120" w:after="120" w:line="360" w:lineRule="exact"/>
              <w:ind w:firstLine="34"/>
              <w:jc w:val="both"/>
              <w:rPr>
                <w:bCs/>
                <w:i/>
                <w:color w:val="000000" w:themeColor="text1"/>
                <w:sz w:val="28"/>
                <w:szCs w:val="28"/>
                <w:lang w:val="vi-VN"/>
              </w:rPr>
            </w:pPr>
            <w:r>
              <w:rPr>
                <w:bCs/>
                <w:color w:val="000000" w:themeColor="text1"/>
                <w:sz w:val="28"/>
                <w:szCs w:val="28"/>
                <w:lang w:val="vi-VN"/>
              </w:rPr>
              <w:t xml:space="preserve">4. Người giúp việc cho giám định viên tư pháp, người giám định tư pháp theo vụ việc tại các </w:t>
            </w:r>
            <w:r>
              <w:rPr>
                <w:bCs/>
                <w:color w:val="000000" w:themeColor="text1"/>
                <w:spacing w:val="-4"/>
                <w:sz w:val="28"/>
                <w:szCs w:val="28"/>
                <w:lang w:val="vi-VN"/>
              </w:rPr>
              <w:t>cơ quan nhà nước, đơn vị sự nghiệp công lập khác trên địa bàn tỉnh Điện Biên</w:t>
            </w:r>
            <w:r>
              <w:rPr>
                <w:bCs/>
                <w:color w:val="000000" w:themeColor="text1"/>
                <w:sz w:val="28"/>
                <w:szCs w:val="28"/>
                <w:lang w:val="vi-VN"/>
              </w:rPr>
              <w:t>: 1.000.000 đồng/vụ việc.</w:t>
            </w:r>
          </w:p>
          <w:p>
            <w:pPr>
              <w:spacing w:before="120" w:after="120" w:line="360" w:lineRule="exact"/>
              <w:ind w:firstLine="34"/>
              <w:jc w:val="both"/>
              <w:rPr>
                <w:bCs/>
                <w:i/>
                <w:color w:val="000000" w:themeColor="text1"/>
                <w:sz w:val="28"/>
                <w:szCs w:val="28"/>
                <w:lang w:val="vi-VN"/>
              </w:rPr>
            </w:pPr>
            <w:r>
              <w:rPr>
                <w:bCs/>
                <w:i/>
                <w:color w:val="000000" w:themeColor="text1"/>
                <w:sz w:val="28"/>
                <w:szCs w:val="28"/>
                <w:lang w:val="vi-VN"/>
              </w:rPr>
              <w:t xml:space="preserve">- Điểm mới: Mức hỗ trợ tăng gấp 2 lần (trung bình 200%) so với </w:t>
            </w:r>
            <w:r>
              <w:rPr>
                <w:i/>
                <w:color w:val="000000" w:themeColor="text1"/>
                <w:sz w:val="28"/>
                <w:szCs w:val="28"/>
                <w:lang w:val="vi-VN"/>
              </w:rPr>
              <w:t>Nghị quyết số</w:t>
            </w:r>
            <w:r>
              <w:rPr>
                <w:i/>
                <w:color w:val="000000" w:themeColor="text1"/>
                <w:sz w:val="28"/>
                <w:szCs w:val="28"/>
              </w:rPr>
              <w:t xml:space="preserve"> 22/2020/NQ-HĐND</w:t>
            </w:r>
            <w:r>
              <w:rPr>
                <w:i/>
                <w:color w:val="000000" w:themeColor="text1"/>
                <w:sz w:val="28"/>
                <w:szCs w:val="28"/>
                <w:lang w:val="vi-VN"/>
              </w:rPr>
              <w:t>. Trong đó: Mức hỗ trợ cho g</w:t>
            </w:r>
            <w:r>
              <w:rPr>
                <w:i/>
                <w:color w:val="000000" w:themeColor="text1"/>
                <w:sz w:val="28"/>
                <w:szCs w:val="28"/>
                <w:lang w:val="vi-VN"/>
              </w:rPr>
              <w:t xml:space="preserve">iám định viên tư pháp làm việc tại Phòng Kỹ thuật hình </w:t>
            </w:r>
            <w:r>
              <w:rPr>
                <w:i/>
                <w:color w:val="000000" w:themeColor="text1"/>
                <w:sz w:val="28"/>
                <w:szCs w:val="28"/>
                <w:lang w:val="vi-VN"/>
              </w:rPr>
              <w:lastRenderedPageBreak/>
              <w:t>sự thuộc Công an tỉnh và Trung tâm Pháp y thuộc Sở Y tế</w:t>
            </w:r>
            <w:r>
              <w:rPr>
                <w:i/>
                <w:color w:val="000000" w:themeColor="text1"/>
                <w:sz w:val="28"/>
                <w:szCs w:val="28"/>
                <w:lang w:val="vi-VN"/>
              </w:rPr>
              <w:t xml:space="preserve"> tăng 1,3 triệu so với </w:t>
            </w:r>
            <w:r>
              <w:rPr>
                <w:i/>
                <w:color w:val="000000" w:themeColor="text1"/>
                <w:sz w:val="28"/>
                <w:szCs w:val="28"/>
                <w:lang w:val="vi-VN"/>
              </w:rPr>
              <w:t>Nghị quyết số</w:t>
            </w:r>
            <w:r>
              <w:rPr>
                <w:i/>
                <w:color w:val="000000" w:themeColor="text1"/>
                <w:sz w:val="28"/>
                <w:szCs w:val="28"/>
              </w:rPr>
              <w:t xml:space="preserve"> 22/2020/NQ-HĐND</w:t>
            </w:r>
            <w:r>
              <w:rPr>
                <w:i/>
                <w:color w:val="000000" w:themeColor="text1"/>
                <w:sz w:val="28"/>
                <w:szCs w:val="28"/>
                <w:lang w:val="vi-VN"/>
              </w:rPr>
              <w:t xml:space="preserve"> (285,7%). </w:t>
            </w:r>
            <w:r>
              <w:rPr>
                <w:bCs/>
                <w:i/>
                <w:sz w:val="28"/>
                <w:szCs w:val="28"/>
                <w:lang w:val="vi-VN"/>
              </w:rPr>
              <w:t>Việc điều chỉnh tăng mức hỗ trợ không chỉ là chính sách động viên kịp thời</w:t>
            </w:r>
            <w:r>
              <w:rPr>
                <w:bCs/>
                <w:i/>
                <w:sz w:val="28"/>
                <w:szCs w:val="28"/>
                <w:lang w:val="vi-VN"/>
              </w:rPr>
              <w:t xml:space="preserve"> đối với đội ngũ giám định viên</w:t>
            </w:r>
            <w:r>
              <w:rPr>
                <w:bCs/>
                <w:i/>
                <w:sz w:val="28"/>
                <w:szCs w:val="28"/>
                <w:lang w:val="vi-VN"/>
              </w:rPr>
              <w:t xml:space="preserve"> mà còn mang lại những hiệu quả to lớn, toàn diện đối với hoạt động tố tụng và sự phát triển kinh tế, chính trị - xã hội của địa phương</w:t>
            </w:r>
          </w:p>
          <w:p>
            <w:pPr>
              <w:spacing w:before="120" w:after="120"/>
              <w:jc w:val="both"/>
              <w:rPr>
                <w:bCs/>
                <w:i/>
                <w:color w:val="000000" w:themeColor="text1"/>
                <w:spacing w:val="-6"/>
                <w:sz w:val="28"/>
                <w:szCs w:val="28"/>
                <w:lang w:val="vi-VN"/>
              </w:rPr>
            </w:pPr>
          </w:p>
        </w:tc>
      </w:tr>
      <w:tr>
        <w:trPr>
          <w:trHeight w:val="417"/>
        </w:trPr>
        <w:tc>
          <w:tcPr>
            <w:tcW w:w="5387" w:type="dxa"/>
          </w:tcPr>
          <w:p>
            <w:pPr>
              <w:spacing w:before="120" w:after="120"/>
              <w:rPr>
                <w:color w:val="000000" w:themeColor="text1"/>
                <w:sz w:val="28"/>
                <w:szCs w:val="28"/>
                <w:lang w:val="vi-VN"/>
              </w:rPr>
            </w:pPr>
            <w:r>
              <w:rPr>
                <w:b/>
                <w:bCs/>
                <w:color w:val="000000" w:themeColor="text1"/>
                <w:sz w:val="28"/>
                <w:szCs w:val="28"/>
                <w:lang w:val="vi-VN"/>
              </w:rPr>
              <w:lastRenderedPageBreak/>
              <w:t>Điều 3. Nguồn kinh phí; thời điểm áp dụng</w:t>
            </w:r>
          </w:p>
          <w:p>
            <w:pPr>
              <w:spacing w:before="120" w:after="120"/>
              <w:rPr>
                <w:color w:val="000000" w:themeColor="text1"/>
                <w:sz w:val="28"/>
                <w:szCs w:val="28"/>
                <w:lang w:val="vi-VN"/>
              </w:rPr>
            </w:pPr>
            <w:r>
              <w:rPr>
                <w:color w:val="000000" w:themeColor="text1"/>
                <w:sz w:val="28"/>
                <w:szCs w:val="28"/>
                <w:lang w:val="vi-VN"/>
              </w:rPr>
              <w:t>1. Kinh phí thực hiện: Nguồn ngân sách địa phương.</w:t>
            </w:r>
          </w:p>
          <w:p>
            <w:pPr>
              <w:spacing w:before="120" w:after="120"/>
              <w:rPr>
                <w:color w:val="000000" w:themeColor="text1"/>
                <w:sz w:val="28"/>
                <w:szCs w:val="28"/>
                <w:lang w:val="vi-VN"/>
              </w:rPr>
            </w:pPr>
            <w:r>
              <w:rPr>
                <w:color w:val="000000" w:themeColor="text1"/>
                <w:sz w:val="28"/>
                <w:szCs w:val="28"/>
                <w:lang w:val="vi-VN"/>
              </w:rPr>
              <w:t>2. Thời điểm áp dụng: Từ ngày 01 tháng 8 năm 2020.</w:t>
            </w:r>
          </w:p>
        </w:tc>
        <w:tc>
          <w:tcPr>
            <w:tcW w:w="5386" w:type="dxa"/>
          </w:tcPr>
          <w:p>
            <w:pPr>
              <w:pStyle w:val="Heading3"/>
              <w:keepNext w:val="0"/>
              <w:keepLines w:val="0"/>
              <w:widowControl w:val="0"/>
              <w:spacing w:before="120" w:after="120"/>
              <w:outlineLvl w:val="2"/>
              <w:rPr>
                <w:rFonts w:eastAsiaTheme="minorHAnsi"/>
                <w:bCs/>
                <w:i/>
                <w:color w:val="000000" w:themeColor="text1"/>
                <w:kern w:val="0"/>
                <w:lang w:val="vi-VN"/>
              </w:rPr>
            </w:pPr>
            <w:r>
              <w:rPr>
                <w:rFonts w:eastAsiaTheme="minorHAnsi"/>
                <w:bCs/>
                <w:i/>
                <w:color w:val="000000" w:themeColor="text1"/>
                <w:kern w:val="0"/>
                <w:lang w:val="vi-VN"/>
              </w:rPr>
              <w:t xml:space="preserve">Điều 3. </w:t>
            </w:r>
            <w:r>
              <w:rPr>
                <w:bCs/>
                <w:i/>
                <w:color w:val="000000" w:themeColor="text1"/>
                <w:lang w:val="vi-VN"/>
              </w:rPr>
              <w:t>Nguồn kinh phí thực hiện</w:t>
            </w:r>
          </w:p>
          <w:p>
            <w:pPr>
              <w:pStyle w:val="Heading3"/>
              <w:keepNext w:val="0"/>
              <w:keepLines w:val="0"/>
              <w:widowControl w:val="0"/>
              <w:spacing w:before="120" w:after="120"/>
              <w:outlineLvl w:val="2"/>
              <w:rPr>
                <w:b w:val="0"/>
                <w:i/>
                <w:color w:val="000000" w:themeColor="text1"/>
                <w:lang w:val="vi-VN"/>
              </w:rPr>
            </w:pPr>
            <w:r>
              <w:rPr>
                <w:b w:val="0"/>
                <w:i/>
                <w:color w:val="000000" w:themeColor="text1"/>
                <w:lang w:val="vi-VN"/>
              </w:rPr>
              <w:t>Ngân sách tỉnh bảo đảm mức hỗ trợ cho</w:t>
            </w:r>
            <w:r>
              <w:rPr>
                <w:i/>
                <w:iCs/>
                <w:color w:val="000000" w:themeColor="text1"/>
                <w:lang w:val="vi-VN"/>
              </w:rPr>
              <w:t xml:space="preserve"> </w:t>
            </w:r>
            <w:r>
              <w:rPr>
                <w:b w:val="0"/>
                <w:bCs/>
                <w:i/>
                <w:iCs/>
                <w:color w:val="000000" w:themeColor="text1"/>
                <w:lang w:val="vi-VN"/>
              </w:rPr>
              <w:t>người giám định tư pháp; người giúp việc cho người giám định tư pháp</w:t>
            </w:r>
            <w:r>
              <w:rPr>
                <w:b w:val="0"/>
                <w:bCs/>
                <w:i/>
                <w:color w:val="000000" w:themeColor="text1"/>
                <w:lang w:val="vi-VN"/>
              </w:rPr>
              <w:t xml:space="preserve"> </w:t>
            </w:r>
            <w:r>
              <w:rPr>
                <w:b w:val="0"/>
                <w:i/>
                <w:color w:val="000000" w:themeColor="text1"/>
                <w:lang w:val="vi-VN"/>
              </w:rPr>
              <w:t>được phân bổ trong dự toán chi ngân sách nhà nước hằng năm cho các cơ quan, đơn vị</w:t>
            </w:r>
            <w:r>
              <w:rPr>
                <w:b w:val="0"/>
                <w:i/>
                <w:color w:val="000000" w:themeColor="text1"/>
                <w:lang w:val="vi-VN"/>
              </w:rPr>
              <w:t>.</w:t>
            </w:r>
          </w:p>
          <w:p>
            <w:pPr>
              <w:rPr>
                <w:i/>
                <w:sz w:val="28"/>
                <w:szCs w:val="28"/>
                <w:lang w:val="vi-VN"/>
              </w:rPr>
            </w:pPr>
            <w:r>
              <w:rPr>
                <w:i/>
                <w:sz w:val="28"/>
                <w:szCs w:val="28"/>
                <w:lang w:val="vi-VN"/>
              </w:rPr>
              <w:t xml:space="preserve">- Điểm mới: Nguồn ngân sách sẽ được phân bổ trong </w:t>
            </w:r>
            <w:r>
              <w:rPr>
                <w:i/>
                <w:color w:val="000000" w:themeColor="text1"/>
                <w:sz w:val="28"/>
                <w:szCs w:val="28"/>
                <w:lang w:val="vi-VN"/>
              </w:rPr>
              <w:t>dự toán chi ngân sách nhà nước hằng năm cho các cơ quan, đơn vị</w:t>
            </w:r>
            <w:r>
              <w:rPr>
                <w:i/>
                <w:color w:val="000000" w:themeColor="text1"/>
                <w:sz w:val="28"/>
                <w:szCs w:val="28"/>
                <w:lang w:val="vi-VN"/>
              </w:rPr>
              <w:t xml:space="preserve"> quản lý trực tiếp </w:t>
            </w:r>
            <w:r>
              <w:rPr>
                <w:bCs/>
                <w:i/>
                <w:color w:val="000000" w:themeColor="text1"/>
                <w:sz w:val="28"/>
                <w:szCs w:val="28"/>
              </w:rPr>
              <w:t>giám định viên tư pháp, người giám định tư pháp theo vụ việc; người giúp việc cho giám định viên tư pháp, người giám định tư pháp theo vụ việc</w:t>
            </w:r>
            <w:r>
              <w:rPr>
                <w:bCs/>
                <w:i/>
                <w:color w:val="000000" w:themeColor="text1"/>
                <w:sz w:val="28"/>
                <w:szCs w:val="28"/>
                <w:lang w:val="vi-VN"/>
              </w:rPr>
              <w:t>, thay vì phân bổ về Sở Tư pháp để thực hiện thanh, quyết toán ngân sách như trước đây. Điều này sẽ đảm bảo thủ tục thanh toán được trực tiếp, rút ngắn thời gian cho các đối tượng được hưởng thụ.</w:t>
            </w:r>
          </w:p>
        </w:tc>
      </w:tr>
      <w:tr>
        <w:trPr>
          <w:trHeight w:val="417"/>
        </w:trPr>
        <w:tc>
          <w:tcPr>
            <w:tcW w:w="5387" w:type="dxa"/>
          </w:tcPr>
          <w:p>
            <w:pPr>
              <w:spacing w:before="120" w:after="120"/>
              <w:jc w:val="both"/>
              <w:rPr>
                <w:b/>
                <w:bCs/>
                <w:color w:val="000000" w:themeColor="text1"/>
                <w:sz w:val="28"/>
                <w:szCs w:val="28"/>
                <w:lang w:val="vi-VN"/>
              </w:rPr>
            </w:pPr>
            <w:r>
              <w:rPr>
                <w:b/>
                <w:bCs/>
                <w:color w:val="000000" w:themeColor="text1"/>
                <w:sz w:val="28"/>
                <w:szCs w:val="28"/>
                <w:lang w:val="vi-VN"/>
              </w:rPr>
              <w:lastRenderedPageBreak/>
              <w:t>Điều 4. Tổ chức thực hiện</w:t>
            </w:r>
          </w:p>
          <w:p>
            <w:pPr>
              <w:spacing w:before="120" w:after="120"/>
              <w:jc w:val="both"/>
              <w:rPr>
                <w:bCs/>
                <w:color w:val="000000" w:themeColor="text1"/>
                <w:sz w:val="28"/>
                <w:szCs w:val="28"/>
                <w:lang w:val="vi-VN"/>
              </w:rPr>
            </w:pPr>
            <w:r>
              <w:rPr>
                <w:bCs/>
                <w:color w:val="000000" w:themeColor="text1"/>
                <w:sz w:val="28"/>
                <w:szCs w:val="28"/>
                <w:lang w:val="vi-VN"/>
              </w:rPr>
              <w:t>1. Giao Ủy ban nhân dân tỉnh tổ chức thực hiện Nghị quyết theo quy định của pháp luật.</w:t>
            </w:r>
          </w:p>
          <w:p>
            <w:pPr>
              <w:spacing w:before="120" w:after="120"/>
              <w:jc w:val="both"/>
              <w:rPr>
                <w:bCs/>
                <w:color w:val="000000" w:themeColor="text1"/>
                <w:sz w:val="28"/>
                <w:szCs w:val="28"/>
                <w:lang w:val="vi-VN"/>
              </w:rPr>
            </w:pPr>
            <w:r>
              <w:rPr>
                <w:bCs/>
                <w:color w:val="000000" w:themeColor="text1"/>
                <w:sz w:val="28"/>
                <w:szCs w:val="28"/>
                <w:lang w:val="vi-VN"/>
              </w:rPr>
              <w:t>2. Giao Thường trực Hội đồng nhân dân, các Ban của Hội đồng nhân dân, Tổ đại biểu Hội đồng nhân dân và các đại biểu Hội đồng nhân dân tỉnh giám sát việc thực hiện Nghị quyết này.</w:t>
            </w:r>
          </w:p>
        </w:tc>
        <w:tc>
          <w:tcPr>
            <w:tcW w:w="5386" w:type="dxa"/>
            <w:vAlign w:val="center"/>
          </w:tcPr>
          <w:p>
            <w:pPr>
              <w:pStyle w:val="Heading3"/>
              <w:widowControl w:val="0"/>
              <w:spacing w:before="120" w:after="120"/>
              <w:outlineLvl w:val="2"/>
              <w:rPr>
                <w:bCs/>
                <w:color w:val="000000" w:themeColor="text1"/>
                <w:lang w:val="vi-VN"/>
              </w:rPr>
            </w:pPr>
            <w:r>
              <w:rPr>
                <w:bCs/>
                <w:color w:val="000000" w:themeColor="text1"/>
                <w:lang w:val="vi-VN"/>
              </w:rPr>
              <w:t>Điều 4. Tổ chức thực hiện</w:t>
            </w:r>
          </w:p>
          <w:p>
            <w:pPr>
              <w:pStyle w:val="Heading3"/>
              <w:widowControl w:val="0"/>
              <w:spacing w:before="120" w:after="120"/>
              <w:outlineLvl w:val="2"/>
              <w:rPr>
                <w:b w:val="0"/>
                <w:color w:val="000000" w:themeColor="text1"/>
                <w:lang w:val="vi-VN"/>
              </w:rPr>
            </w:pPr>
            <w:r>
              <w:rPr>
                <w:b w:val="0"/>
                <w:color w:val="000000" w:themeColor="text1"/>
                <w:lang w:val="vi-VN"/>
              </w:rPr>
              <w:t>1. Giao Ủy ban nhân dân tỉnh có trách nhiệm tổ chức triển khai thực hiện Nghị quyết theo quy định của pháp luật.</w:t>
            </w:r>
          </w:p>
          <w:p>
            <w:pPr>
              <w:pStyle w:val="Heading3"/>
              <w:widowControl w:val="0"/>
              <w:spacing w:before="120" w:after="120"/>
              <w:rPr>
                <w:b w:val="0"/>
                <w:color w:val="000000" w:themeColor="text1"/>
                <w:lang w:val="vi-VN"/>
              </w:rPr>
            </w:pPr>
            <w:r>
              <w:rPr>
                <w:b w:val="0"/>
                <w:color w:val="000000" w:themeColor="text1"/>
                <w:lang w:val="vi-VN"/>
              </w:rPr>
              <w:t>2. Giao Thường trực Hội đồng nhân dân tỉnh, các Ban Hội đồng nhân dân tỉnh, Tổ đại biểu Hội đồng nhân dân tỉnh và các đại biểu Hội đồng nhân dân tỉnh giám sát việc thực hiện Nghị quyết này theo quy định.</w:t>
            </w:r>
          </w:p>
          <w:p>
            <w:pPr>
              <w:pStyle w:val="Heading3"/>
              <w:widowControl w:val="0"/>
              <w:spacing w:before="120" w:after="120"/>
              <w:outlineLvl w:val="2"/>
              <w:rPr>
                <w:b w:val="0"/>
                <w:bCs/>
                <w:color w:val="000000" w:themeColor="text1"/>
                <w:lang w:val="vi-VN"/>
              </w:rPr>
            </w:pPr>
          </w:p>
        </w:tc>
      </w:tr>
      <w:tr>
        <w:trPr>
          <w:trHeight w:val="417"/>
        </w:trPr>
        <w:tc>
          <w:tcPr>
            <w:tcW w:w="5387" w:type="dxa"/>
          </w:tcPr>
          <w:p>
            <w:pPr>
              <w:spacing w:before="120" w:after="120"/>
              <w:jc w:val="both"/>
              <w:rPr>
                <w:b/>
                <w:bCs/>
                <w:color w:val="000000" w:themeColor="text1"/>
                <w:sz w:val="28"/>
                <w:szCs w:val="28"/>
              </w:rPr>
            </w:pPr>
            <w:r>
              <w:rPr>
                <w:b/>
                <w:bCs/>
                <w:color w:val="000000" w:themeColor="text1"/>
                <w:sz w:val="28"/>
                <w:szCs w:val="28"/>
              </w:rPr>
              <w:t>Điều 5. Hiệu lực thi hành</w:t>
            </w:r>
          </w:p>
          <w:p>
            <w:pPr>
              <w:spacing w:before="120" w:after="120"/>
              <w:jc w:val="both"/>
              <w:rPr>
                <w:bCs/>
                <w:color w:val="000000" w:themeColor="text1"/>
                <w:sz w:val="28"/>
                <w:szCs w:val="28"/>
              </w:rPr>
            </w:pPr>
            <w:r>
              <w:rPr>
                <w:bCs/>
                <w:color w:val="000000" w:themeColor="text1"/>
                <w:sz w:val="28"/>
                <w:szCs w:val="28"/>
              </w:rPr>
              <w:t>Nghị quyết này được Hội đồng nhân dân tỉnh Điện Biên Khóa XIV, Kỳ họp thứ 14 thông qua ngày 15 tháng 7 năm 2020 và có hiệu lực thi hành từ ngày 25 tháng 7 năm 2020./.</w:t>
            </w:r>
          </w:p>
        </w:tc>
        <w:tc>
          <w:tcPr>
            <w:tcW w:w="5386" w:type="dxa"/>
          </w:tcPr>
          <w:p>
            <w:pPr>
              <w:pStyle w:val="Heading3"/>
              <w:widowControl w:val="0"/>
              <w:spacing w:before="120" w:after="120"/>
              <w:outlineLvl w:val="2"/>
              <w:rPr>
                <w:bCs/>
                <w:color w:val="000000" w:themeColor="text1"/>
              </w:rPr>
            </w:pPr>
            <w:r>
              <w:rPr>
                <w:bCs/>
                <w:color w:val="000000" w:themeColor="text1"/>
              </w:rPr>
              <w:t>Điều 5. Điều khoản thi hành</w:t>
            </w:r>
          </w:p>
          <w:p>
            <w:pPr>
              <w:spacing w:before="120" w:after="120" w:line="360" w:lineRule="exact"/>
              <w:jc w:val="both"/>
              <w:rPr>
                <w:color w:val="000000" w:themeColor="text1"/>
                <w:spacing w:val="-6"/>
                <w:sz w:val="28"/>
                <w:szCs w:val="28"/>
                <w:lang w:val="vi-VN"/>
              </w:rPr>
            </w:pPr>
            <w:r>
              <w:rPr>
                <w:color w:val="000000" w:themeColor="text1"/>
                <w:spacing w:val="-6"/>
                <w:sz w:val="28"/>
                <w:szCs w:val="28"/>
                <w:lang w:val="vi-VN"/>
              </w:rPr>
              <w:t>1. Nghị quyết có hiệu lực thi hành từ ngày</w:t>
            </w:r>
            <w:r>
              <w:rPr>
                <w:color w:val="000000" w:themeColor="text1"/>
                <w:spacing w:val="-6"/>
                <w:sz w:val="28"/>
                <w:szCs w:val="28"/>
                <w:lang w:val="vi-VN"/>
              </w:rPr>
              <w:t xml:space="preserve"> 26</w:t>
            </w:r>
            <w:r>
              <w:rPr>
                <w:color w:val="000000" w:themeColor="text1"/>
                <w:spacing w:val="-6"/>
                <w:sz w:val="28"/>
                <w:szCs w:val="28"/>
                <w:lang w:val="vi-VN"/>
              </w:rPr>
              <w:t xml:space="preserve"> tháng </w:t>
            </w:r>
            <w:r>
              <w:rPr>
                <w:color w:val="000000" w:themeColor="text1"/>
                <w:spacing w:val="-6"/>
                <w:sz w:val="28"/>
                <w:szCs w:val="28"/>
                <w:lang w:val="vi-VN"/>
              </w:rPr>
              <w:t xml:space="preserve">7 </w:t>
            </w:r>
            <w:r>
              <w:rPr>
                <w:color w:val="000000" w:themeColor="text1"/>
                <w:spacing w:val="-6"/>
                <w:sz w:val="28"/>
                <w:szCs w:val="28"/>
                <w:lang w:val="vi-VN"/>
              </w:rPr>
              <w:t>năm 2026.</w:t>
            </w:r>
          </w:p>
          <w:p>
            <w:pPr>
              <w:spacing w:before="120" w:after="120" w:line="360" w:lineRule="exact"/>
              <w:ind w:firstLine="34"/>
              <w:jc w:val="both"/>
              <w:rPr>
                <w:color w:val="000000" w:themeColor="text1"/>
                <w:spacing w:val="-6"/>
                <w:sz w:val="28"/>
                <w:szCs w:val="28"/>
                <w:lang w:val="vi-VN"/>
              </w:rPr>
            </w:pPr>
            <w:r>
              <w:rPr>
                <w:color w:val="000000" w:themeColor="text1"/>
                <w:spacing w:val="-6"/>
                <w:sz w:val="28"/>
                <w:szCs w:val="28"/>
                <w:lang w:val="vi-VN"/>
              </w:rPr>
              <w:t>2. Nghị quyết số 22/2020/NQ-HĐND ngày 15 tháng 7 năm 2020 của Hội đồng nhân dân tỉnh Điện Biên quy định mức hỗ trợ cho giám định viên tư pháp, người giám định tư pháp theo vụ việc; người giúp việc cho giám định tư pháp trên địa bàn tỉnh Điện Biên hết hiệu lực kể từ ngày Nghị quyết này có hiệu lực thi hành.</w:t>
            </w:r>
          </w:p>
          <w:p>
            <w:pPr>
              <w:pStyle w:val="Heading3"/>
              <w:widowControl w:val="0"/>
              <w:spacing w:before="120" w:after="120"/>
              <w:outlineLvl w:val="2"/>
              <w:rPr>
                <w:b w:val="0"/>
                <w:bCs/>
                <w:color w:val="000000" w:themeColor="text1"/>
              </w:rPr>
            </w:pPr>
          </w:p>
        </w:tc>
      </w:tr>
    </w:tbl>
    <w:p>
      <w:pPr>
        <w:tabs>
          <w:tab w:val="left" w:pos="12030"/>
        </w:tabs>
        <w:rPr>
          <w:color w:val="000000" w:themeColor="text1"/>
          <w:sz w:val="28"/>
          <w:szCs w:val="28"/>
          <w:lang w:val="vi-VN"/>
        </w:rPr>
      </w:pPr>
    </w:p>
    <w:p>
      <w:pPr>
        <w:rPr>
          <w:color w:val="000000" w:themeColor="text1"/>
          <w:sz w:val="28"/>
          <w:szCs w:val="28"/>
        </w:rPr>
      </w:pPr>
    </w:p>
    <w:bookmarkEnd w:id="1"/>
    <w:bookmarkEnd w:id="2"/>
    <w:p>
      <w:pPr>
        <w:spacing w:before="120" w:after="120" w:line="360" w:lineRule="exact"/>
        <w:ind w:firstLine="720"/>
        <w:jc w:val="both"/>
        <w:rPr>
          <w:b/>
          <w:bCs/>
          <w:color w:val="000000" w:themeColor="text1"/>
          <w:sz w:val="28"/>
          <w:szCs w:val="28"/>
          <w:lang w:val="vi-VN"/>
        </w:rPr>
      </w:pPr>
    </w:p>
    <w:sectPr>
      <w:headerReference w:type="default" r:id="rId6"/>
      <w:footerReference w:type="default" r:id="rId7"/>
      <w:pgSz w:w="11907" w:h="16840" w:code="9"/>
      <w:pgMar w:top="1134" w:right="1134" w:bottom="1134"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rPr>
        <w:noProof/>
      </w:rPr>
    </w:pPr>
  </w:p>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239465"/>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3A165C-7C0D-4A83-81AD-F9408294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pPr>
      <w:keepNext/>
      <w:keepLines/>
      <w:spacing w:before="160" w:after="80"/>
      <w:jc w:val="both"/>
      <w:outlineLvl w:val="2"/>
    </w:pPr>
    <w:rPr>
      <w:b/>
      <w:kern w:val="2"/>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eastAsia="Times New Roman" w:hAnsi="Times New Roman" w:cs="Times New Roman"/>
      <w:b/>
      <w:kern w:val="2"/>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table" w:styleId="TableGrid">
    <w:name w:val="Table Grid"/>
    <w:basedOn w:val="TableNormal"/>
    <w:uiPriority w:val="3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pPr>
      <w:spacing w:before="100" w:beforeAutospacing="1" w:after="100" w:afterAutospacing="1"/>
    </w:pPr>
  </w:style>
  <w:style w:type="character" w:customStyle="1" w:styleId="NormalWebChar">
    <w:name w:val="Normal (Web) Char"/>
    <w:link w:val="NormalWeb"/>
    <w:uiPriority w:val="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953</Words>
  <Characters>5435</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105</cp:revision>
  <dcterms:created xsi:type="dcterms:W3CDTF">2026-08-09T08:07:00Z</dcterms:created>
  <dcterms:modified xsi:type="dcterms:W3CDTF">2026-08-09T09:04:00Z</dcterms:modified>
</cp:coreProperties>
</file>